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35" w:rsidRPr="00957535" w:rsidRDefault="00957535" w:rsidP="00957535">
      <w:pPr>
        <w:shd w:val="clear" w:color="auto" w:fill="FFFDE8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514B4F"/>
          <w:sz w:val="18"/>
          <w:szCs w:val="18"/>
        </w:rPr>
      </w:pPr>
      <w:r w:rsidRPr="00957535">
        <w:rPr>
          <w:rFonts w:ascii="Verdana" w:eastAsia="Times New Roman" w:hAnsi="Verdana" w:cs="Times New Roman"/>
          <w:b/>
          <w:bCs/>
          <w:color w:val="514B4F"/>
          <w:sz w:val="18"/>
          <w:szCs w:val="18"/>
        </w:rPr>
        <w:t>Таблица 4. Показатели, на которые влияет минимальная зарплата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677"/>
        <w:gridCol w:w="2545"/>
        <w:gridCol w:w="1616"/>
        <w:gridCol w:w="2195"/>
      </w:tblGrid>
      <w:tr w:rsidR="00957535" w:rsidRPr="00957535" w:rsidTr="009575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5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5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5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5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порядок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5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размер,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5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законодательная норма</w:t>
            </w:r>
          </w:p>
        </w:tc>
      </w:tr>
      <w:tr w:rsidR="00957535" w:rsidRPr="00957535" w:rsidTr="00957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Предельный размер дохода, с которого удерживается НДФЛ по ставке 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anchor="3177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п.167.1 ст.167 НКУ</w:t>
              </w:r>
            </w:hyperlink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С дохода (базы налогообложения, которая определяется с учетом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5" w:anchor="3055" w:history="1">
              <w:r w:rsidRPr="00957535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п.164.6 ст.164 НКУ</w:t>
              </w:r>
            </w:hyperlink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), превышающего указанную сумму, НДФЛ взимается по ставке 20%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**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6" w:history="1">
              <w:r w:rsidRPr="00957535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Налоговый кодекс Украины от 02.12.2010 г. № 2755-VI</w:t>
              </w:r>
            </w:hyperlink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 учетом изменений, внесенных Законом Украины от 28.12.2014 г. № 71-VIII «О внесении изменений в Налоговый кодекс Украины и некоторые законодательные акты Украины относительно налоговой реформы»</w:t>
            </w:r>
          </w:p>
        </w:tc>
      </w:tr>
      <w:tr w:rsidR="00957535" w:rsidRPr="00957535" w:rsidTr="00957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неденежных подарков, с которой не взимается НДФЛ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anchor="3130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пп.165.1.39 ст.165 НКУ</w:t>
              </w:r>
            </w:hyperlink>
          </w:p>
        </w:tc>
      </w:tr>
      <w:tr w:rsidR="00957535" w:rsidRPr="00957535" w:rsidTr="00957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получего годового дохода, при привышении которого необходимо подавать налоговую декларацию*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146160,00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anchor="3539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пп.«є» п.176.1 ст.176 НКУ</w:t>
              </w:r>
            </w:hyperlink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Форма декларации утверждена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9" w:history="1">
              <w:r w:rsidRPr="00957535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приказом Миндоходов Украины от 11.12.2013 г. № 793 «Об утверждении формы налоговой декларации об имущественном состоянии и доходах и Инструкции по заполнению налоговой декларации об имущественном состоянии и доходах»</w:t>
              </w:r>
            </w:hyperlink>
          </w:p>
        </w:tc>
      </w:tr>
      <w:tr w:rsidR="00957535" w:rsidRPr="00957535" w:rsidTr="009575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заработной платы (дохода) работников, находящихся в трудовых отношениях с плательщиком налога на прибыль, дающим право ему применять ставку 0%*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– 30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2436,00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anchor="8410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п.16 подраздела 4 раздела XX «Переходные положения» НКУ</w:t>
              </w:r>
            </w:hyperlink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– 31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1378 грн. ×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2756,00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Кроме того, размер доходов за последний годовой отчетный период у таких плательщиков не должен превышать 3 млн. грн. Установлено, что ставка налога 0% может применяться плательщиками налога на прибыль до 01.01.2016 г.</w:t>
            </w:r>
          </w:p>
        </w:tc>
      </w:tr>
      <w:tr w:rsidR="00957535" w:rsidRPr="00957535" w:rsidTr="009575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Максимальные размеры суточных, которые не включаются в налогооблагаемый доход физического лица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командировках в пределах Украины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243,60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anchor="3399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пп.170.9.1 ст.170 НКУ</w:t>
              </w:r>
            </w:hyperlink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командировках за границу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913,50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535" w:rsidRPr="00957535" w:rsidTr="00957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Максимальные размеры ставок единого налога в расчете на месяц для первой группы плательщиков*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anchor="9898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пп.1 п.293.2 ст.293 НКУ</w:t>
              </w:r>
            </w:hyperlink>
          </w:p>
        </w:tc>
      </w:tr>
      <w:tr w:rsidR="00957535" w:rsidRPr="00957535" w:rsidTr="00957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Максимальные размеры ставок единого налога в расчете на месяц для второй группы плательщиков*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243,60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anchor="9899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пп.2 п.293.2 ст.293 НКУ</w:t>
              </w:r>
            </w:hyperlink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Ставки налога устанавливаются сельскими, поселковыми и городскими советами, и не должны превышать установленный максимальный размер</w:t>
            </w:r>
          </w:p>
        </w:tc>
      </w:tr>
      <w:tr w:rsidR="00957535" w:rsidRPr="00957535" w:rsidTr="009575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заработной платы, при выплате которой каждому работнику, работодатель имеет право на </w:t>
            </w: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компенсацию фактических расходов в размере 50% суммы начисленного и уплаченного ЕСВ*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– 30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3654,00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anchor="230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Часть третья ст.24 Закона № 5067</w:t>
              </w:r>
            </w:hyperlink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– 31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1378 грн. ×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4134,00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См. также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15" w:history="1">
              <w:r w:rsidRPr="00957535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постановление КМУ от 13.03.2013 г. № 153 «Об утверждении Порядка компенсации работодателям части фактических расходов, связанных с уплатой единого взноса на общеобязательное государственное социальное страхование»</w:t>
              </w:r>
            </w:hyperlink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hyperlink r:id="rId16" w:history="1">
              <w:r w:rsidRPr="00957535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комментарий к нему</w:t>
              </w:r>
            </w:hyperlink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**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17" w:history="1">
              <w:r w:rsidRPr="00957535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Закон Украины от 05.07.2012 г. № 5067-VI «О занятости населения»</w:t>
              </w:r>
            </w:hyperlink>
          </w:p>
        </w:tc>
      </w:tr>
      <w:tr w:rsidR="00957535" w:rsidRPr="00957535" w:rsidTr="00957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минимального страхового взноса в расчете на месяц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Минимальный страховой взнос – это сумма ЕСВ, определяемая расчетно как произведение минимального размера заработной платы и размера взноса, установленного на месяц, за который начисляется заработная плата (доход), и подлежит уплате ежемесячно. Таким образом, для того чтобы определить размер минимального страхового взноса нужно сумму минимальной заработной платы, действующей в соответствующем периоде (см. Таблицу 3), умножить на ставку ЕСВ, установленной соответствующему плательщику взноса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anchor="12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п.5 части первой ст.1 Закона № 2464</w:t>
              </w:r>
            </w:hyperlink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19" w:history="1">
              <w:r w:rsidRPr="00957535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Закон Украины от 08.07.2010 г. № 2464-VI «О сборе и учете единого взноса на общеобязательное государственное социальное страхование»</w:t>
              </w:r>
            </w:hyperlink>
          </w:p>
        </w:tc>
      </w:tr>
      <w:tr w:rsidR="00957535" w:rsidRPr="00957535" w:rsidTr="009575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Штрафные санкции за нарушения требований в сфере трансфертного ценообразования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за непредставление (несвоевременное представление) отчета о контролируемых операциях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121800,00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anchor="17568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п.120.3 ст.120 НКУ</w:t>
              </w:r>
            </w:hyperlink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за непредставление документации, определенной</w:t>
            </w:r>
            <w:r w:rsidRPr="00957535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21" w:anchor="17444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пп.39.4.8 ст.39 НКУ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200*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243600,00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В таком порядке определяется максимальный размер штрафа, который налагается на предприятие- нарушителя в случае, если 3% суммы контролируемых операций, относительно которых не была подана документация, превышает указанный размер. Если 3% контролируемых операций, относительно которых не была подана документация, не превышает указанный размер, то штраф налагается в размере 3% контролируемых операций, относительно которых не была подана документация.</w:t>
            </w:r>
          </w:p>
        </w:tc>
      </w:tr>
      <w:tr w:rsidR="00957535" w:rsidRPr="00957535" w:rsidTr="009575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Штрафные санкции за фактический допуск работника к работе без оформления трудового договора (контракта), оформление работника на неполное рабочее время в случае фактического выполнения работы полное рабочее время, установленное на предприятии, выплаты заработной платы (вознаграждения) без начисления и уплаты ЕСВ и налогов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– 30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36540,00*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anchor="1582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ст.265 КЗоТ</w:t>
              </w:r>
            </w:hyperlink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– 31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1378 грн. ×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41340,00*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Штраф в таком размере налагается на работодателя за каждого работника, относительно которого совершено нарушение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**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23" w:history="1">
              <w:r w:rsidRPr="00957535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Кодекс законов о труде Украины от 10.12.71 г. № 322-VIII</w:t>
              </w:r>
            </w:hyperlink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с учетом изменений, внесенных Законом Украины от 28.12.2014 г. № 77-VIII «О внесении изменений в некоторые законодательные акты Украины относительно реформирования общеобязательного государственного социального страхования и легализации фонда оплаты труда» (Закон № 77)</w:t>
            </w:r>
          </w:p>
        </w:tc>
      </w:tr>
      <w:tr w:rsidR="00957535" w:rsidRPr="00957535" w:rsidTr="009575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Штрафные санкции за нарушение установленных сроков выплаты заработной платы работникам, других выплат, предусмотренных законодательством о труде, более чем за один месяц, выплата их не в полном объеме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– 30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3654,00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anchor="1582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ст.265 КЗоТ</w:t>
              </w:r>
            </w:hyperlink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– 31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1378 грн. ×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4134,00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См. сноску "**" к строке 11</w:t>
            </w:r>
          </w:p>
        </w:tc>
      </w:tr>
      <w:tr w:rsidR="00957535" w:rsidRPr="00957535" w:rsidTr="009575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Штрафные санкции за несоблюдение минимальных государственных гарантий в оплате труда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– 30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12180,00*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anchor="1582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ст.265 КЗоТ</w:t>
              </w:r>
            </w:hyperlink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– 31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1378 грн. ×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13780,00*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Штраф в таком размере налагается на работодателя за каждого работника, относительно которого совершено нарушение</w:t>
            </w: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**Cм. сноску "**" к строке 11</w:t>
            </w:r>
          </w:p>
        </w:tc>
      </w:tr>
      <w:tr w:rsidR="00957535" w:rsidRPr="00957535" w:rsidTr="009575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Штрафные санкции за нарушение других требований трудового законодательства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– 30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anchor="1582" w:history="1">
              <w:r w:rsidRPr="00957535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ст.265 КЗоТ</w:t>
              </w:r>
            </w:hyperlink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– 31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1378 грн.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См. сноску "**" к строке 11</w:t>
            </w:r>
          </w:p>
        </w:tc>
      </w:tr>
      <w:tr w:rsidR="00957535" w:rsidRPr="00957535" w:rsidTr="009575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заработной платы, начисляемый работодателем, который дает право на применение коэффициента 0,4 к базе начисления ЕСВ (в виде заработной платы и вознаграждений по гражданско-правовым договорам)*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– 30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1218 грн. ×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3654,00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п. 3 раздела II «Заключительные и переходные положения» Закона № 77</w:t>
            </w:r>
          </w:p>
        </w:tc>
      </w:tr>
      <w:tr w:rsidR="00957535" w:rsidRPr="00957535" w:rsidTr="009575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 – 31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1378 грн. ×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sz w:val="20"/>
                <w:szCs w:val="20"/>
              </w:rPr>
              <w:t>4134 грн.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535" w:rsidRPr="00957535" w:rsidTr="009575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7535" w:rsidRPr="00957535" w:rsidRDefault="00957535" w:rsidP="009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Это лишь одно из условий, дающих право на применение указанного коэффициента. Остальные условия содержатся в п.3 раздела II «Заключительные и переходные положения» Закона № 77</w:t>
            </w:r>
          </w:p>
        </w:tc>
      </w:tr>
    </w:tbl>
    <w:p w:rsidR="00312DF0" w:rsidRDefault="00312DF0"/>
    <w:sectPr w:rsidR="0031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7535"/>
    <w:rsid w:val="00312DF0"/>
    <w:rsid w:val="0095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575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5753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575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7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1c.ua/db/content/liga/lib00001/t102755.htm?_=1419595853" TargetMode="External"/><Relationship Id="rId13" Type="http://schemas.openxmlformats.org/officeDocument/2006/relationships/hyperlink" Target="http://its.1c.ua/db/content/liga/lib00001/t102755.htm?_=1419595853" TargetMode="External"/><Relationship Id="rId18" Type="http://schemas.openxmlformats.org/officeDocument/2006/relationships/hyperlink" Target="http://its.1c.ua/db/content/liga/lib00001/t102464.htm?_=1419595853" TargetMode="External"/><Relationship Id="rId26" Type="http://schemas.openxmlformats.org/officeDocument/2006/relationships/hyperlink" Target="http://its.1c.ua/db/content/liga/lib00001/kd0001.htm?_=14195958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s.1c.ua/db/content/liga/lib00001/t102755.htm?_=1419595853" TargetMode="External"/><Relationship Id="rId7" Type="http://schemas.openxmlformats.org/officeDocument/2006/relationships/hyperlink" Target="http://its.1c.ua/db/content/liga/lib00001/t102755.htm?_=1419595853" TargetMode="External"/><Relationship Id="rId12" Type="http://schemas.openxmlformats.org/officeDocument/2006/relationships/hyperlink" Target="http://its.1c.ua/db/content/liga/lib00001/t102755.htm?_=1419595853" TargetMode="External"/><Relationship Id="rId17" Type="http://schemas.openxmlformats.org/officeDocument/2006/relationships/hyperlink" Target="http://its.1c.ua/db/content/liga/lib00001/t125067.htm?_=1419595853" TargetMode="External"/><Relationship Id="rId25" Type="http://schemas.openxmlformats.org/officeDocument/2006/relationships/hyperlink" Target="http://its.1c.ua/db/content/liga/lib00001/kd0001.htm?_=14195958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s.1c.ua/db/content/acttaxu/src/20130321_02.htm?_=1421682637" TargetMode="External"/><Relationship Id="rId20" Type="http://schemas.openxmlformats.org/officeDocument/2006/relationships/hyperlink" Target="http://its.1c.ua/db/content/liga/lib00001/t102755.htm?_=1419595853" TargetMode="External"/><Relationship Id="rId1" Type="http://schemas.openxmlformats.org/officeDocument/2006/relationships/styles" Target="styles.xml"/><Relationship Id="rId6" Type="http://schemas.openxmlformats.org/officeDocument/2006/relationships/hyperlink" Target="http://its.1c.ua/db/content/liga/lib00001/t102755.htm?_=1419595853" TargetMode="External"/><Relationship Id="rId11" Type="http://schemas.openxmlformats.org/officeDocument/2006/relationships/hyperlink" Target="http://its.1c.ua/db/content/liga/lib00001/t102755.htm?_=1419595853" TargetMode="External"/><Relationship Id="rId24" Type="http://schemas.openxmlformats.org/officeDocument/2006/relationships/hyperlink" Target="http://its.1c.ua/db/content/liga/lib00001/kd0001.htm?_=1419595853" TargetMode="External"/><Relationship Id="rId5" Type="http://schemas.openxmlformats.org/officeDocument/2006/relationships/hyperlink" Target="http://its.1c.ua/db/content/liga/lib00001/t102755.htm?_=1419595853" TargetMode="External"/><Relationship Id="rId15" Type="http://schemas.openxmlformats.org/officeDocument/2006/relationships/hyperlink" Target="http://its.1c.ua/db/content/liga/lib00001/kp130153.htm?_=1419595853" TargetMode="External"/><Relationship Id="rId23" Type="http://schemas.openxmlformats.org/officeDocument/2006/relationships/hyperlink" Target="http://its.1c.ua/db/content/liga/lib00001/kd0001.htm?_=141959585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ts.1c.ua/db/content/liga/lib00001/t102755.htm?_=1419595853" TargetMode="External"/><Relationship Id="rId19" Type="http://schemas.openxmlformats.org/officeDocument/2006/relationships/hyperlink" Target="http://its.1c.ua/db/content/liga/lib00001/t102464.htm?_=1419595853" TargetMode="External"/><Relationship Id="rId4" Type="http://schemas.openxmlformats.org/officeDocument/2006/relationships/hyperlink" Target="http://its.1c.ua/db/content/liga/lib00001/t102755.htm?_=1419595853" TargetMode="External"/><Relationship Id="rId9" Type="http://schemas.openxmlformats.org/officeDocument/2006/relationships/hyperlink" Target="http://its.1c.ua/db/content/liga/lib00001/re24711.htm?_=1419595853" TargetMode="External"/><Relationship Id="rId14" Type="http://schemas.openxmlformats.org/officeDocument/2006/relationships/hyperlink" Target="http://its.1c.ua/db/content/liga/lib00001/t125067.htm?_=1419595853" TargetMode="External"/><Relationship Id="rId22" Type="http://schemas.openxmlformats.org/officeDocument/2006/relationships/hyperlink" Target="http://its.1c.ua/db/content/liga/lib00001/kd0001.htm?_=141959585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2015-01-19T17:59:00Z</dcterms:created>
  <dcterms:modified xsi:type="dcterms:W3CDTF">2015-01-19T17:59:00Z</dcterms:modified>
</cp:coreProperties>
</file>